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05" w:rsidRDefault="00BF20B3">
      <w:r>
        <w:tab/>
      </w:r>
      <w:r>
        <w:tab/>
      </w:r>
      <w:r>
        <w:tab/>
      </w:r>
      <w:r>
        <w:tab/>
      </w:r>
    </w:p>
    <w:p w:rsidR="00BF20B3" w:rsidRDefault="00BF20B3">
      <w:r>
        <w:tab/>
      </w:r>
      <w:r>
        <w:tab/>
      </w:r>
      <w:r>
        <w:tab/>
      </w:r>
    </w:p>
    <w:tbl>
      <w:tblPr>
        <w:tblW w:w="0" w:type="auto"/>
        <w:tblCellSpacing w:w="0" w:type="dxa"/>
        <w:tblCellMar>
          <w:left w:w="0" w:type="dxa"/>
          <w:right w:w="0" w:type="dxa"/>
        </w:tblCellMar>
        <w:tblLook w:val="04A0" w:firstRow="1" w:lastRow="0" w:firstColumn="1" w:lastColumn="0" w:noHBand="0" w:noVBand="1"/>
      </w:tblPr>
      <w:tblGrid>
        <w:gridCol w:w="9639"/>
      </w:tblGrid>
      <w:tr w:rsidR="00BF20B3" w:rsidTr="00BF20B3">
        <w:trPr>
          <w:tblCellSpacing w:w="0" w:type="dxa"/>
        </w:trPr>
        <w:tc>
          <w:tcPr>
            <w:tcW w:w="9639" w:type="dxa"/>
            <w:vAlign w:val="center"/>
            <w:hideMark/>
          </w:tcPr>
          <w:p w:rsidR="00BF20B3" w:rsidRDefault="00BF20B3">
            <w:pPr>
              <w:pStyle w:val="1"/>
            </w:pPr>
            <w:r>
              <w:t>Потерпілим на виробництві профінансовано страхових виплат на 3,8 млрд грн</w:t>
            </w:r>
          </w:p>
        </w:tc>
      </w:tr>
      <w:tr w:rsidR="00BF20B3">
        <w:trPr>
          <w:tblCellSpacing w:w="0" w:type="dxa"/>
        </w:trPr>
        <w:tc>
          <w:tcPr>
            <w:tcW w:w="0" w:type="auto"/>
            <w:tcMar>
              <w:top w:w="75" w:type="dxa"/>
              <w:left w:w="0" w:type="dxa"/>
              <w:bottom w:w="0" w:type="dxa"/>
              <w:right w:w="0" w:type="dxa"/>
            </w:tcMar>
            <w:vAlign w:val="center"/>
            <w:hideMark/>
          </w:tcPr>
          <w:p w:rsidR="00BF20B3" w:rsidRDefault="00BF20B3">
            <w:pPr>
              <w:rPr>
                <w:rFonts w:ascii="Arial" w:hAnsi="Arial" w:cs="Arial"/>
                <w:color w:val="97999C"/>
                <w:sz w:val="18"/>
                <w:szCs w:val="18"/>
              </w:rPr>
            </w:pPr>
            <w:r>
              <w:rPr>
                <w:rFonts w:ascii="Arial" w:hAnsi="Arial" w:cs="Arial"/>
                <w:color w:val="97999C"/>
                <w:sz w:val="18"/>
                <w:szCs w:val="18"/>
              </w:rPr>
              <w:t xml:space="preserve">09.07.2018 </w:t>
            </w:r>
          </w:p>
        </w:tc>
      </w:tr>
      <w:tr w:rsidR="00BF20B3" w:rsidTr="00EF6CB8">
        <w:trPr>
          <w:trHeight w:val="12448"/>
          <w:tblCellSpacing w:w="0" w:type="dxa"/>
        </w:trPr>
        <w:tc>
          <w:tcPr>
            <w:tcW w:w="0" w:type="auto"/>
            <w:vAlign w:val="center"/>
          </w:tcPr>
          <w:p w:rsidR="00BF20B3" w:rsidRDefault="00BF20B3" w:rsidP="00BF20B3">
            <w:pPr>
              <w:spacing w:before="120" w:line="225" w:lineRule="atLeast"/>
              <w:ind w:firstLine="851"/>
              <w:jc w:val="both"/>
              <w:rPr>
                <w:rFonts w:ascii="Verdana" w:hAnsi="Verdana" w:cs="Times New Roman"/>
                <w:color w:val="000000" w:themeColor="text1"/>
                <w:sz w:val="20"/>
                <w:szCs w:val="20"/>
              </w:rPr>
            </w:pPr>
            <w:r>
              <w:rPr>
                <w:rFonts w:ascii="Verdana" w:hAnsi="Verdana"/>
                <w:color w:val="000000" w:themeColor="text1"/>
                <w:sz w:val="20"/>
                <w:szCs w:val="20"/>
              </w:rPr>
              <w:t>Упро</w:t>
            </w:r>
            <w:bookmarkStart w:id="0" w:name="_GoBack"/>
            <w:bookmarkEnd w:id="0"/>
            <w:r>
              <w:rPr>
                <w:rFonts w:ascii="Verdana" w:hAnsi="Verdana"/>
                <w:color w:val="000000" w:themeColor="text1"/>
                <w:sz w:val="20"/>
                <w:szCs w:val="20"/>
              </w:rPr>
              <w:t>довж 6 місяців 2018 року за рахунок коштів Фонду соціального страхування України на щомісячні страхові виплати потерпілим на виробництві та членам їх сімей було направлено 3,8 млрд гривень. Станом на сьогодні зазначені виплати отримують понад 207 тис. осіб.</w:t>
            </w:r>
          </w:p>
          <w:p w:rsidR="00BF20B3" w:rsidRDefault="00BF20B3" w:rsidP="00BF20B3">
            <w:pPr>
              <w:spacing w:before="120" w:line="225" w:lineRule="atLeast"/>
              <w:ind w:firstLine="851"/>
              <w:jc w:val="both"/>
              <w:rPr>
                <w:rFonts w:ascii="Verdana" w:hAnsi="Verdana"/>
                <w:color w:val="000000" w:themeColor="text1"/>
                <w:sz w:val="20"/>
                <w:szCs w:val="20"/>
              </w:rPr>
            </w:pPr>
            <w:r>
              <w:rPr>
                <w:rFonts w:ascii="Verdana" w:hAnsi="Verdana"/>
                <w:color w:val="000000" w:themeColor="text1"/>
                <w:sz w:val="20"/>
                <w:szCs w:val="20"/>
              </w:rPr>
              <w:t>Страхові виплати у зв’язку із травмою на виробництві або професійним захворюванням призначаються з дня встановлення інвалідності та виплачуються ФССУ щомісячно. Розмір виплат залежить від ступеня втрати професійної працездатності та середньомісячної заробітної плати потерпілого перед настанням страхового випадку. Мінімальний розмір такої виплати у перерахунку на 100% втрати професійної працездатності не може бути меншим за прожитковий мінімум, встановлений для працездатних осіб на дату настання права на страхову виплату. Максимальний розмір не повинен перевищувати 10 розмірів прожиткового мінімуму.</w:t>
            </w:r>
          </w:p>
          <w:p w:rsidR="00BF20B3" w:rsidRDefault="00BF20B3" w:rsidP="00BF20B3">
            <w:pPr>
              <w:spacing w:before="120" w:line="225" w:lineRule="atLeast"/>
              <w:ind w:firstLine="851"/>
              <w:jc w:val="both"/>
              <w:rPr>
                <w:rFonts w:ascii="Verdana" w:hAnsi="Verdana"/>
                <w:color w:val="000000" w:themeColor="text1"/>
                <w:sz w:val="20"/>
                <w:szCs w:val="20"/>
              </w:rPr>
            </w:pPr>
            <w:r>
              <w:rPr>
                <w:rFonts w:ascii="Verdana" w:hAnsi="Verdana"/>
                <w:color w:val="000000" w:themeColor="text1"/>
                <w:sz w:val="20"/>
                <w:szCs w:val="20"/>
              </w:rPr>
              <w:t>Зазначається, що з початку 2018 року було здійснено три етапи перерахунків розміру страхових виплат потерпілим на виробництві (членам їх сімей), що дозволило збільшити їх у середньому на 40,6%.</w:t>
            </w:r>
          </w:p>
          <w:p w:rsidR="00BF20B3" w:rsidRDefault="00BF20B3" w:rsidP="00BF20B3">
            <w:pPr>
              <w:spacing w:before="120" w:line="225" w:lineRule="atLeast"/>
              <w:ind w:firstLine="851"/>
              <w:jc w:val="both"/>
              <w:rPr>
                <w:rFonts w:ascii="Verdana" w:hAnsi="Verdana"/>
                <w:color w:val="000000" w:themeColor="text1"/>
                <w:sz w:val="20"/>
                <w:szCs w:val="20"/>
              </w:rPr>
            </w:pPr>
            <w:r>
              <w:rPr>
                <w:rFonts w:ascii="Verdana" w:hAnsi="Verdana"/>
                <w:color w:val="000000" w:themeColor="text1"/>
                <w:sz w:val="20"/>
                <w:szCs w:val="20"/>
              </w:rPr>
              <w:t>Нагадаємо, Фонд соціального страхування України здійснює страхування громадян на випадок тимчасової або стійкої втрати працездатності внаслідок нещасного випадку на виробництві або професійного захворювання, а також смерті потерпілого. У кожному із зазначених випадків передбачено страхові виплати безпосередньо потерпілим або членам їх сімей.</w:t>
            </w:r>
          </w:p>
          <w:p w:rsidR="00BF20B3" w:rsidRDefault="00BF20B3" w:rsidP="00BF20B3">
            <w:pPr>
              <w:spacing w:before="120" w:line="225" w:lineRule="atLeast"/>
              <w:ind w:firstLine="709"/>
              <w:jc w:val="both"/>
              <w:rPr>
                <w:rFonts w:ascii="Verdana" w:hAnsi="Verdana"/>
                <w:b/>
                <w:color w:val="000000" w:themeColor="text1"/>
                <w:sz w:val="20"/>
                <w:szCs w:val="20"/>
              </w:rPr>
            </w:pPr>
            <w:r>
              <w:rPr>
                <w:rFonts w:ascii="Verdana" w:hAnsi="Verdana"/>
                <w:b/>
                <w:color w:val="000000" w:themeColor="text1"/>
                <w:sz w:val="20"/>
                <w:szCs w:val="20"/>
              </w:rPr>
              <w:t>Загалом у разі настання страхового випадку ФССУ здійснює такі виплати:</w:t>
            </w:r>
          </w:p>
          <w:p w:rsidR="00BF20B3" w:rsidRDefault="00BF20B3" w:rsidP="00BF20B3">
            <w:pPr>
              <w:spacing w:line="225" w:lineRule="atLeast"/>
              <w:ind w:firstLine="709"/>
              <w:jc w:val="both"/>
              <w:rPr>
                <w:rFonts w:ascii="Verdana" w:hAnsi="Verdana"/>
                <w:color w:val="000000" w:themeColor="text1"/>
                <w:sz w:val="20"/>
                <w:szCs w:val="20"/>
              </w:rPr>
            </w:pPr>
            <w:r>
              <w:rPr>
                <w:rFonts w:ascii="Verdana" w:hAnsi="Verdana"/>
                <w:color w:val="000000" w:themeColor="text1"/>
                <w:sz w:val="20"/>
                <w:szCs w:val="20"/>
              </w:rPr>
              <w:t>1) допомогу у зв’язку з тимчасовою непрацездатністю до відновлення працездатності або встановлення інвалідності;</w:t>
            </w:r>
          </w:p>
          <w:p w:rsidR="00BF20B3" w:rsidRDefault="00BF20B3" w:rsidP="00BF20B3">
            <w:pPr>
              <w:spacing w:line="225" w:lineRule="atLeast"/>
              <w:ind w:firstLine="709"/>
              <w:jc w:val="both"/>
              <w:rPr>
                <w:rFonts w:ascii="Verdana" w:hAnsi="Verdana"/>
                <w:color w:val="000000" w:themeColor="text1"/>
                <w:sz w:val="20"/>
                <w:szCs w:val="20"/>
              </w:rPr>
            </w:pPr>
            <w:r>
              <w:rPr>
                <w:rFonts w:ascii="Verdana" w:hAnsi="Verdana"/>
                <w:color w:val="000000" w:themeColor="text1"/>
                <w:sz w:val="20"/>
                <w:szCs w:val="20"/>
              </w:rPr>
              <w:t>2) одноразову допомогу в разі стійкої втрати професійної працездатності або смерті потерпілого;</w:t>
            </w:r>
          </w:p>
          <w:p w:rsidR="00BF20B3" w:rsidRDefault="00BF20B3" w:rsidP="00BF20B3">
            <w:pPr>
              <w:spacing w:line="225" w:lineRule="atLeast"/>
              <w:ind w:firstLine="709"/>
              <w:jc w:val="both"/>
              <w:rPr>
                <w:rFonts w:ascii="Verdana" w:hAnsi="Verdana"/>
                <w:color w:val="000000" w:themeColor="text1"/>
                <w:sz w:val="20"/>
                <w:szCs w:val="20"/>
              </w:rPr>
            </w:pPr>
            <w:r>
              <w:rPr>
                <w:rFonts w:ascii="Verdana" w:hAnsi="Verdana"/>
                <w:color w:val="000000" w:themeColor="text1"/>
                <w:sz w:val="20"/>
                <w:szCs w:val="20"/>
              </w:rPr>
              <w:t>3) щомісячну страхову виплату в разі часткової чи повної втрати працездатності, що компенсує відповідну частину втраченого заробітку потерпілого;</w:t>
            </w:r>
          </w:p>
          <w:p w:rsidR="00BF20B3" w:rsidRDefault="00BF20B3" w:rsidP="00BF20B3">
            <w:pPr>
              <w:spacing w:line="225" w:lineRule="atLeast"/>
              <w:ind w:firstLine="709"/>
              <w:jc w:val="both"/>
              <w:rPr>
                <w:rFonts w:ascii="Verdana" w:hAnsi="Verdana"/>
                <w:color w:val="000000" w:themeColor="text1"/>
                <w:sz w:val="20"/>
                <w:szCs w:val="20"/>
              </w:rPr>
            </w:pPr>
            <w:r>
              <w:rPr>
                <w:rFonts w:ascii="Verdana" w:hAnsi="Verdana"/>
                <w:color w:val="000000" w:themeColor="text1"/>
                <w:sz w:val="20"/>
                <w:szCs w:val="20"/>
              </w:rPr>
              <w:t xml:space="preserve">4) страхову виплату потерпілому у розмірі його середньомісячного заробітку при тимчасовому переведенні його на легшу </w:t>
            </w:r>
            <w:proofErr w:type="spellStart"/>
            <w:r>
              <w:rPr>
                <w:rFonts w:ascii="Verdana" w:hAnsi="Verdana"/>
                <w:color w:val="000000" w:themeColor="text1"/>
                <w:sz w:val="20"/>
                <w:szCs w:val="20"/>
              </w:rPr>
              <w:t>нижчеоплачувану</w:t>
            </w:r>
            <w:proofErr w:type="spellEnd"/>
            <w:r>
              <w:rPr>
                <w:rFonts w:ascii="Verdana" w:hAnsi="Verdana"/>
                <w:color w:val="000000" w:themeColor="text1"/>
                <w:sz w:val="20"/>
                <w:szCs w:val="20"/>
              </w:rPr>
              <w:t xml:space="preserve"> роботу;</w:t>
            </w:r>
          </w:p>
          <w:p w:rsidR="00BF20B3" w:rsidRDefault="00BF20B3" w:rsidP="00BF20B3">
            <w:pPr>
              <w:spacing w:line="225" w:lineRule="atLeast"/>
              <w:ind w:firstLine="709"/>
              <w:jc w:val="both"/>
              <w:rPr>
                <w:rFonts w:ascii="Verdana" w:hAnsi="Verdana"/>
                <w:color w:val="000000" w:themeColor="text1"/>
                <w:sz w:val="20"/>
                <w:szCs w:val="20"/>
              </w:rPr>
            </w:pPr>
            <w:r>
              <w:rPr>
                <w:rFonts w:ascii="Verdana" w:hAnsi="Verdana"/>
                <w:color w:val="000000" w:themeColor="text1"/>
                <w:sz w:val="20"/>
                <w:szCs w:val="20"/>
              </w:rPr>
              <w:t>5) щомісячну страхову виплату особам, які мають на неї право в разі смерті потерпілого;</w:t>
            </w:r>
          </w:p>
          <w:p w:rsidR="00BF20B3" w:rsidRDefault="00BF20B3" w:rsidP="00BF20B3">
            <w:pPr>
              <w:spacing w:line="225" w:lineRule="atLeast"/>
              <w:ind w:firstLine="709"/>
              <w:jc w:val="both"/>
              <w:rPr>
                <w:rFonts w:ascii="Verdana" w:hAnsi="Verdana"/>
                <w:color w:val="000000" w:themeColor="text1"/>
                <w:sz w:val="20"/>
                <w:szCs w:val="20"/>
              </w:rPr>
            </w:pPr>
            <w:r>
              <w:rPr>
                <w:rFonts w:ascii="Verdana" w:hAnsi="Verdana"/>
                <w:color w:val="000000" w:themeColor="text1"/>
                <w:sz w:val="20"/>
                <w:szCs w:val="20"/>
              </w:rPr>
              <w:t>6) відшкодування вартості ритуальних послуг, пов’язаних з похованням померлого.</w:t>
            </w:r>
          </w:p>
          <w:p w:rsidR="00BF20B3" w:rsidRDefault="00BF20B3" w:rsidP="00BF20B3">
            <w:pPr>
              <w:spacing w:line="225" w:lineRule="atLeast"/>
              <w:rPr>
                <w:rFonts w:ascii="Times New Roman" w:eastAsia="Times New Roman" w:hAnsi="Times New Roman"/>
                <w:color w:val="676767"/>
                <w:sz w:val="24"/>
                <w:szCs w:val="24"/>
              </w:rPr>
            </w:pPr>
          </w:p>
          <w:p w:rsidR="00BF20B3" w:rsidRDefault="00BF20B3" w:rsidP="00BF20B3">
            <w:pPr>
              <w:spacing w:line="225" w:lineRule="atLeast"/>
              <w:ind w:firstLine="6096"/>
              <w:rPr>
                <w:rFonts w:ascii="Times New Roman" w:eastAsia="Times New Roman" w:hAnsi="Times New Roman"/>
                <w:color w:val="676767"/>
                <w:sz w:val="24"/>
                <w:szCs w:val="24"/>
              </w:rPr>
            </w:pPr>
            <w:r>
              <w:rPr>
                <w:rFonts w:ascii="Times New Roman" w:eastAsia="Times New Roman" w:hAnsi="Times New Roman"/>
                <w:color w:val="676767"/>
                <w:sz w:val="24"/>
                <w:szCs w:val="24"/>
              </w:rPr>
              <w:t>Прес – служба Фонду соціального</w:t>
            </w:r>
          </w:p>
          <w:p w:rsidR="00BF20B3" w:rsidRDefault="00BF20B3" w:rsidP="00BF20B3">
            <w:pPr>
              <w:spacing w:line="225" w:lineRule="atLeast"/>
              <w:ind w:firstLine="6096"/>
              <w:rPr>
                <w:rFonts w:ascii="Times New Roman" w:eastAsia="Times New Roman" w:hAnsi="Times New Roman"/>
                <w:color w:val="676767"/>
                <w:sz w:val="24"/>
                <w:szCs w:val="24"/>
              </w:rPr>
            </w:pPr>
            <w:r>
              <w:rPr>
                <w:rFonts w:ascii="Times New Roman" w:eastAsia="Times New Roman" w:hAnsi="Times New Roman"/>
                <w:color w:val="676767"/>
                <w:sz w:val="24"/>
                <w:szCs w:val="24"/>
              </w:rPr>
              <w:t xml:space="preserve"> с</w:t>
            </w:r>
            <w:r>
              <w:rPr>
                <w:rFonts w:ascii="Verdana" w:hAnsi="Verdana"/>
                <w:color w:val="000000" w:themeColor="text1"/>
                <w:sz w:val="20"/>
                <w:szCs w:val="20"/>
              </w:rPr>
              <w:t>трахування України</w:t>
            </w:r>
          </w:p>
        </w:tc>
      </w:tr>
      <w:tr w:rsidR="00BF20B3">
        <w:trPr>
          <w:tblCellSpacing w:w="0" w:type="dxa"/>
        </w:trPr>
        <w:tc>
          <w:tcPr>
            <w:tcW w:w="0" w:type="auto"/>
            <w:vAlign w:val="center"/>
          </w:tcPr>
          <w:p w:rsidR="00BF20B3" w:rsidRDefault="00BF20B3" w:rsidP="00BF20B3">
            <w:pPr>
              <w:spacing w:before="120" w:line="225" w:lineRule="atLeast"/>
              <w:ind w:firstLine="851"/>
              <w:jc w:val="both"/>
              <w:rPr>
                <w:rFonts w:ascii="Verdana" w:hAnsi="Verdana"/>
                <w:color w:val="000000" w:themeColor="text1"/>
                <w:sz w:val="20"/>
                <w:szCs w:val="20"/>
              </w:rPr>
            </w:pPr>
          </w:p>
        </w:tc>
      </w:tr>
      <w:tr w:rsidR="00BF20B3">
        <w:trPr>
          <w:tblCellSpacing w:w="0" w:type="dxa"/>
        </w:trPr>
        <w:tc>
          <w:tcPr>
            <w:tcW w:w="0" w:type="auto"/>
            <w:vAlign w:val="center"/>
          </w:tcPr>
          <w:p w:rsidR="00BF20B3" w:rsidRDefault="00BF20B3" w:rsidP="00BF20B3">
            <w:pPr>
              <w:spacing w:before="120" w:line="225" w:lineRule="atLeast"/>
              <w:ind w:firstLine="851"/>
              <w:jc w:val="both"/>
              <w:rPr>
                <w:rFonts w:ascii="Verdana" w:hAnsi="Verdana"/>
                <w:color w:val="000000" w:themeColor="text1"/>
                <w:sz w:val="20"/>
                <w:szCs w:val="20"/>
              </w:rPr>
            </w:pPr>
          </w:p>
        </w:tc>
      </w:tr>
    </w:tbl>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306"/>
      </w:tblGrid>
      <w:tr w:rsidR="00BF20B3">
        <w:trPr>
          <w:tblCellSpacing w:w="0" w:type="dxa"/>
        </w:trPr>
        <w:tc>
          <w:tcPr>
            <w:tcW w:w="0" w:type="auto"/>
            <w:vAlign w:val="center"/>
            <w:hideMark/>
          </w:tcPr>
          <w:p w:rsidR="00BF20B3" w:rsidRDefault="00BF20B3">
            <w:pPr>
              <w:rPr>
                <w:rFonts w:eastAsia="Times New Roman"/>
              </w:rPr>
            </w:pPr>
          </w:p>
        </w:tc>
      </w:tr>
    </w:tbl>
    <w:p w:rsidR="00BF20B3" w:rsidRDefault="00BF20B3"/>
    <w:sectPr w:rsidR="00BF2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76"/>
    <w:rsid w:val="000372B5"/>
    <w:rsid w:val="000401ED"/>
    <w:rsid w:val="00053DB6"/>
    <w:rsid w:val="0005783C"/>
    <w:rsid w:val="000A084D"/>
    <w:rsid w:val="000C01FC"/>
    <w:rsid w:val="00136E35"/>
    <w:rsid w:val="00145A8B"/>
    <w:rsid w:val="001F4663"/>
    <w:rsid w:val="001F641B"/>
    <w:rsid w:val="002505FA"/>
    <w:rsid w:val="002A5C00"/>
    <w:rsid w:val="002B6FA7"/>
    <w:rsid w:val="002D6BB3"/>
    <w:rsid w:val="002D6CEA"/>
    <w:rsid w:val="002E2779"/>
    <w:rsid w:val="003111EB"/>
    <w:rsid w:val="003265D6"/>
    <w:rsid w:val="00340BC2"/>
    <w:rsid w:val="00347BF9"/>
    <w:rsid w:val="00363A25"/>
    <w:rsid w:val="003A072E"/>
    <w:rsid w:val="003B78DC"/>
    <w:rsid w:val="003C0CFD"/>
    <w:rsid w:val="003E14C7"/>
    <w:rsid w:val="003E6ADA"/>
    <w:rsid w:val="003F2BFD"/>
    <w:rsid w:val="00414EA7"/>
    <w:rsid w:val="00424F75"/>
    <w:rsid w:val="00442A0D"/>
    <w:rsid w:val="004447E2"/>
    <w:rsid w:val="00460235"/>
    <w:rsid w:val="00483926"/>
    <w:rsid w:val="00485109"/>
    <w:rsid w:val="004B2543"/>
    <w:rsid w:val="004C6875"/>
    <w:rsid w:val="004D076B"/>
    <w:rsid w:val="00510F00"/>
    <w:rsid w:val="0057543F"/>
    <w:rsid w:val="00584408"/>
    <w:rsid w:val="005863E3"/>
    <w:rsid w:val="00596346"/>
    <w:rsid w:val="005D0BF3"/>
    <w:rsid w:val="005E56B1"/>
    <w:rsid w:val="006070AB"/>
    <w:rsid w:val="00607EA4"/>
    <w:rsid w:val="0068315F"/>
    <w:rsid w:val="006F4B05"/>
    <w:rsid w:val="006F7E05"/>
    <w:rsid w:val="00706757"/>
    <w:rsid w:val="00725A95"/>
    <w:rsid w:val="007743A6"/>
    <w:rsid w:val="007A05B0"/>
    <w:rsid w:val="007A29FF"/>
    <w:rsid w:val="007D45C2"/>
    <w:rsid w:val="007F2402"/>
    <w:rsid w:val="00827D55"/>
    <w:rsid w:val="00836361"/>
    <w:rsid w:val="008A1C9A"/>
    <w:rsid w:val="008B0179"/>
    <w:rsid w:val="008D46CC"/>
    <w:rsid w:val="008E7DF9"/>
    <w:rsid w:val="00950EE5"/>
    <w:rsid w:val="00976190"/>
    <w:rsid w:val="00982C12"/>
    <w:rsid w:val="009A3559"/>
    <w:rsid w:val="009B41BA"/>
    <w:rsid w:val="00A13CEF"/>
    <w:rsid w:val="00A1519C"/>
    <w:rsid w:val="00A16537"/>
    <w:rsid w:val="00A37DB4"/>
    <w:rsid w:val="00A51CEF"/>
    <w:rsid w:val="00A540A9"/>
    <w:rsid w:val="00A7491D"/>
    <w:rsid w:val="00AB3AB1"/>
    <w:rsid w:val="00AD246C"/>
    <w:rsid w:val="00AD2E63"/>
    <w:rsid w:val="00AE03BB"/>
    <w:rsid w:val="00B34F2B"/>
    <w:rsid w:val="00B425D7"/>
    <w:rsid w:val="00B44F5C"/>
    <w:rsid w:val="00B76118"/>
    <w:rsid w:val="00B76BE5"/>
    <w:rsid w:val="00B97AFE"/>
    <w:rsid w:val="00BA1C20"/>
    <w:rsid w:val="00BA39A0"/>
    <w:rsid w:val="00BC0C3F"/>
    <w:rsid w:val="00BD4776"/>
    <w:rsid w:val="00BF20B3"/>
    <w:rsid w:val="00C12100"/>
    <w:rsid w:val="00C211B1"/>
    <w:rsid w:val="00C2166A"/>
    <w:rsid w:val="00C61C20"/>
    <w:rsid w:val="00C676AA"/>
    <w:rsid w:val="00C67905"/>
    <w:rsid w:val="00C90A3A"/>
    <w:rsid w:val="00C9411A"/>
    <w:rsid w:val="00C94412"/>
    <w:rsid w:val="00CD11C4"/>
    <w:rsid w:val="00CE0F61"/>
    <w:rsid w:val="00D0206D"/>
    <w:rsid w:val="00D37BAD"/>
    <w:rsid w:val="00D40417"/>
    <w:rsid w:val="00D601E6"/>
    <w:rsid w:val="00D976AD"/>
    <w:rsid w:val="00DB4E51"/>
    <w:rsid w:val="00DC6CFC"/>
    <w:rsid w:val="00DD163F"/>
    <w:rsid w:val="00DF027F"/>
    <w:rsid w:val="00E372B9"/>
    <w:rsid w:val="00E579DC"/>
    <w:rsid w:val="00E61430"/>
    <w:rsid w:val="00EA2C7B"/>
    <w:rsid w:val="00EC6544"/>
    <w:rsid w:val="00EE0C31"/>
    <w:rsid w:val="00EE34CD"/>
    <w:rsid w:val="00F45948"/>
    <w:rsid w:val="00FD0082"/>
    <w:rsid w:val="00FE56F9"/>
    <w:rsid w:val="00FE5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5EB6-6537-4673-B54F-C62C051E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20B3"/>
    <w:pPr>
      <w:pBdr>
        <w:top w:val="single" w:sz="24" w:space="11" w:color="444444"/>
      </w:pBdr>
      <w:spacing w:before="150" w:after="0" w:line="270" w:lineRule="atLeast"/>
      <w:outlineLvl w:val="0"/>
    </w:pPr>
    <w:rPr>
      <w:rFonts w:ascii="Arial Black" w:eastAsia="Times New Roman" w:hAnsi="Arial Black" w:cs="Times New Roman"/>
      <w:b/>
      <w:bCs/>
      <w:color w:val="356092"/>
      <w:kern w:val="36"/>
      <w:sz w:val="30"/>
      <w:szCs w:val="3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0B3"/>
    <w:rPr>
      <w:rFonts w:ascii="Arial Black" w:eastAsia="Times New Roman" w:hAnsi="Arial Black" w:cs="Times New Roman"/>
      <w:b/>
      <w:bCs/>
      <w:color w:val="356092"/>
      <w:kern w:val="36"/>
      <w:sz w:val="30"/>
      <w:szCs w:val="30"/>
      <w:lang w:eastAsia="uk-UA"/>
    </w:rPr>
  </w:style>
  <w:style w:type="paragraph" w:styleId="a3">
    <w:name w:val="Balloon Text"/>
    <w:basedOn w:val="a"/>
    <w:link w:val="a4"/>
    <w:uiPriority w:val="99"/>
    <w:semiHidden/>
    <w:unhideWhenUsed/>
    <w:rsid w:val="00BF20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2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00258">
      <w:bodyDiv w:val="1"/>
      <w:marLeft w:val="0"/>
      <w:marRight w:val="0"/>
      <w:marTop w:val="0"/>
      <w:marBottom w:val="0"/>
      <w:divBdr>
        <w:top w:val="none" w:sz="0" w:space="0" w:color="auto"/>
        <w:left w:val="none" w:sz="0" w:space="0" w:color="auto"/>
        <w:bottom w:val="none" w:sz="0" w:space="0" w:color="auto"/>
        <w:right w:val="none" w:sz="0" w:space="0" w:color="auto"/>
      </w:divBdr>
      <w:divsChild>
        <w:div w:id="593589889">
          <w:marLeft w:val="0"/>
          <w:marRight w:val="0"/>
          <w:marTop w:val="0"/>
          <w:marBottom w:val="150"/>
          <w:divBdr>
            <w:top w:val="none" w:sz="0" w:space="0" w:color="auto"/>
            <w:left w:val="none" w:sz="0" w:space="0" w:color="auto"/>
            <w:bottom w:val="none" w:sz="0" w:space="0" w:color="auto"/>
            <w:right w:val="none" w:sz="0" w:space="0" w:color="auto"/>
          </w:divBdr>
          <w:divsChild>
            <w:div w:id="1915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Євгеній Васильович Медведенко</dc:creator>
  <cp:keywords/>
  <dc:description/>
  <cp:lastModifiedBy>Євгеній Васильович Медведенко</cp:lastModifiedBy>
  <cp:revision>2</cp:revision>
  <cp:lastPrinted>2018-07-09T10:14:00Z</cp:lastPrinted>
  <dcterms:created xsi:type="dcterms:W3CDTF">2018-07-09T10:17:00Z</dcterms:created>
  <dcterms:modified xsi:type="dcterms:W3CDTF">2018-07-09T10:17:00Z</dcterms:modified>
</cp:coreProperties>
</file>